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64C" w:rsidRDefault="002A764C" w:rsidP="002A764C">
      <w:pPr>
        <w:widowControl w:val="0"/>
        <w:autoSpaceDE w:val="0"/>
        <w:autoSpaceDN w:val="0"/>
        <w:adjustRightInd w:val="0"/>
        <w:jc w:val="both"/>
        <w:rPr>
          <w:rFonts w:ascii="Arial" w:hAnsi="Arial" w:cs="Arial"/>
          <w:b/>
          <w:bCs/>
          <w:color w:val="262626"/>
          <w:lang w:val="es-ES"/>
        </w:rPr>
      </w:pPr>
    </w:p>
    <w:p w:rsidR="002A764C" w:rsidRPr="002A764C" w:rsidRDefault="002A764C" w:rsidP="002A764C">
      <w:pPr>
        <w:widowControl w:val="0"/>
        <w:autoSpaceDE w:val="0"/>
        <w:autoSpaceDN w:val="0"/>
        <w:adjustRightInd w:val="0"/>
        <w:rPr>
          <w:rFonts w:ascii="Arial" w:hAnsi="Arial" w:cs="Arial"/>
          <w:color w:val="262626"/>
          <w:lang w:val="es-ES"/>
        </w:rPr>
      </w:pPr>
      <w:r w:rsidRPr="002A764C">
        <w:rPr>
          <w:rFonts w:ascii="Arial" w:hAnsi="Arial" w:cs="Arial"/>
          <w:b/>
          <w:bCs/>
          <w:color w:val="262626"/>
          <w:lang w:val="es-ES"/>
        </w:rPr>
        <w:t xml:space="preserve">3.- </w:t>
      </w:r>
      <w:r w:rsidRPr="002A764C">
        <w:rPr>
          <w:rFonts w:ascii="Arial" w:hAnsi="Arial" w:cs="Arial"/>
          <w:b/>
          <w:bCs/>
          <w:color w:val="2500FF"/>
          <w:lang w:val="es-ES"/>
        </w:rPr>
        <w:t xml:space="preserve">Discurso de Churchill en </w:t>
      </w:r>
      <w:proofErr w:type="spellStart"/>
      <w:r w:rsidRPr="002A764C">
        <w:rPr>
          <w:rFonts w:ascii="Arial" w:hAnsi="Arial" w:cs="Arial"/>
          <w:b/>
          <w:bCs/>
          <w:color w:val="2500FF"/>
          <w:lang w:val="es-ES"/>
        </w:rPr>
        <w:t>Fulton</w:t>
      </w:r>
      <w:proofErr w:type="spellEnd"/>
      <w:r w:rsidRPr="002A764C">
        <w:rPr>
          <w:rFonts w:ascii="Arial" w:hAnsi="Arial" w:cs="Arial"/>
          <w:b/>
          <w:bCs/>
          <w:color w:val="2500FF"/>
          <w:lang w:val="es-ES"/>
        </w:rPr>
        <w:t xml:space="preserve"> 5 de marzo de 1946 </w:t>
      </w:r>
      <w:hyperlink r:id="rId5" w:history="1">
        <w:r w:rsidRPr="002A764C">
          <w:rPr>
            <w:rFonts w:ascii="Arial" w:hAnsi="Arial" w:cs="Arial"/>
            <w:b/>
            <w:bCs/>
            <w:color w:val="094EC0"/>
            <w:u w:val="single" w:color="094EC0"/>
            <w:lang w:val="es-ES"/>
          </w:rPr>
          <w:t>(</w:t>
        </w:r>
        <w:r w:rsidRPr="002A764C">
          <w:rPr>
            <w:rFonts w:ascii="Arial" w:hAnsi="Arial" w:cs="Arial"/>
            <w:i/>
            <w:iCs/>
            <w:color w:val="0000FF"/>
            <w:u w:val="single" w:color="0000FF"/>
            <w:lang w:val="es-ES"/>
          </w:rPr>
          <w:t>Ver análisis del documento</w:t>
        </w:r>
        <w:r w:rsidRPr="002A764C">
          <w:rPr>
            <w:rFonts w:ascii="Arial" w:hAnsi="Arial" w:cs="Arial"/>
            <w:b/>
            <w:bCs/>
            <w:color w:val="094EC0"/>
            <w:u w:val="single" w:color="094EC0"/>
            <w:lang w:val="es-ES"/>
          </w:rPr>
          <w:t>)</w:t>
        </w:r>
      </w:hyperlink>
    </w:p>
    <w:p w:rsidR="002A764C" w:rsidRPr="002A764C" w:rsidRDefault="002A764C" w:rsidP="002A764C">
      <w:pPr>
        <w:widowControl w:val="0"/>
        <w:autoSpaceDE w:val="0"/>
        <w:autoSpaceDN w:val="0"/>
        <w:adjustRightInd w:val="0"/>
        <w:jc w:val="both"/>
        <w:rPr>
          <w:rFonts w:ascii="Arial" w:hAnsi="Arial" w:cs="Arial"/>
          <w:b/>
          <w:bCs/>
          <w:color w:val="262626"/>
          <w:lang w:val="es-ES"/>
        </w:rPr>
      </w:pPr>
      <w:r w:rsidRPr="002A764C">
        <w:rPr>
          <w:rFonts w:ascii="Arial" w:hAnsi="Arial" w:cs="Arial"/>
          <w:color w:val="262626"/>
          <w:lang w:val="es-ES"/>
        </w:rPr>
        <w:t>Negarse a admitirla, o dejarla marchitarse, nos haría incurrir durante mucho tiempo en los reproches de la posteridad (…) la edad de piedra puede presentarse bajo las alas deslumbrantes de la ciencia (…) Tened cuidado, os digo, es posible que apenas quede tiempo (…)</w:t>
      </w:r>
      <w:r w:rsidRPr="002A764C">
        <w:rPr>
          <w:rFonts w:ascii="Arial" w:hAnsi="Arial" w:cs="Arial"/>
          <w:lang w:val="es-ES"/>
        </w:rPr>
        <w:t> </w:t>
      </w:r>
      <w:r w:rsidRPr="002A764C">
        <w:rPr>
          <w:rFonts w:ascii="Arial" w:hAnsi="Arial" w:cs="Arial"/>
          <w:color w:val="262626"/>
          <w:lang w:val="es-ES"/>
        </w:rPr>
        <w:t xml:space="preserve">Desde </w:t>
      </w:r>
      <w:proofErr w:type="spellStart"/>
      <w:r w:rsidRPr="002A764C">
        <w:rPr>
          <w:rFonts w:ascii="Arial" w:hAnsi="Arial" w:cs="Arial"/>
          <w:color w:val="262626"/>
          <w:lang w:val="es-ES"/>
        </w:rPr>
        <w:t>Stettin</w:t>
      </w:r>
      <w:proofErr w:type="spellEnd"/>
      <w:r w:rsidRPr="002A764C">
        <w:rPr>
          <w:rFonts w:ascii="Arial" w:hAnsi="Arial" w:cs="Arial"/>
          <w:color w:val="262626"/>
          <w:lang w:val="es-ES"/>
        </w:rPr>
        <w:t>, en el Báltico, a Trieste, en el Adriático, ha caído sobre el continente un telón de acero. Tras él se encuentran todas las capitales de los antiguos Estados de Europa central y Oriental (…), todas estas famosas ciudades y sus poblaciones y los países en torno a ellas se encuentran en lo que debo llamar la esfera soviética, y todos están sometidos, de una manera u otra, no sólo a la influencia soviética, sino a una altísima y, en muchos casos, creciente medida de control por parte de Moscú (…) Por ‘cuanto he visto de nuestros amigos los rusos durante la guerra, estoy convencido de que nada admiran más que la fuerza y nada respetan menos que la debilidad (…) Es preciso que los pueblos de lengua inglesa se unan con urgencia para impedir a los rusos toda tentativa de codicia o aventura.</w:t>
      </w:r>
      <w:r w:rsidRPr="002A764C">
        <w:rPr>
          <w:rFonts w:ascii="Arial" w:hAnsi="Arial" w:cs="Arial"/>
          <w:lang w:val="es-ES"/>
        </w:rPr>
        <w:t> </w:t>
      </w:r>
      <w:r w:rsidRPr="002A764C">
        <w:rPr>
          <w:rFonts w:ascii="Arial" w:hAnsi="Arial" w:cs="Arial"/>
          <w:color w:val="262626"/>
          <w:lang w:val="es-ES"/>
        </w:rPr>
        <w:t xml:space="preserve">Westminster </w:t>
      </w:r>
      <w:proofErr w:type="spellStart"/>
      <w:r w:rsidRPr="002A764C">
        <w:rPr>
          <w:rFonts w:ascii="Arial" w:hAnsi="Arial" w:cs="Arial"/>
          <w:color w:val="262626"/>
          <w:lang w:val="es-ES"/>
        </w:rPr>
        <w:t>College</w:t>
      </w:r>
      <w:proofErr w:type="spellEnd"/>
      <w:r w:rsidRPr="002A764C">
        <w:rPr>
          <w:rFonts w:ascii="Arial" w:hAnsi="Arial" w:cs="Arial"/>
          <w:color w:val="262626"/>
          <w:lang w:val="es-ES"/>
        </w:rPr>
        <w:t xml:space="preserve">, </w:t>
      </w:r>
      <w:proofErr w:type="spellStart"/>
      <w:r w:rsidRPr="002A764C">
        <w:rPr>
          <w:rFonts w:ascii="Arial" w:hAnsi="Arial" w:cs="Arial"/>
          <w:color w:val="262626"/>
          <w:lang w:val="es-ES"/>
        </w:rPr>
        <w:t>Fulton</w:t>
      </w:r>
      <w:proofErr w:type="spellEnd"/>
      <w:r w:rsidRPr="002A764C">
        <w:rPr>
          <w:rFonts w:ascii="Arial" w:hAnsi="Arial" w:cs="Arial"/>
          <w:color w:val="262626"/>
          <w:lang w:val="es-ES"/>
        </w:rPr>
        <w:t>, Missouri5 de marzo de 1946</w:t>
      </w:r>
    </w:p>
    <w:p w:rsidR="002A764C" w:rsidRDefault="002A764C" w:rsidP="002A764C">
      <w:pPr>
        <w:widowControl w:val="0"/>
        <w:autoSpaceDE w:val="0"/>
        <w:autoSpaceDN w:val="0"/>
        <w:adjustRightInd w:val="0"/>
        <w:jc w:val="both"/>
        <w:rPr>
          <w:rFonts w:ascii="Arial" w:hAnsi="Arial" w:cs="Arial"/>
          <w:b/>
          <w:bCs/>
          <w:color w:val="262626"/>
          <w:lang w:val="es-ES"/>
        </w:rPr>
      </w:pPr>
    </w:p>
    <w:p w:rsidR="002A764C" w:rsidRDefault="002A764C" w:rsidP="002A764C">
      <w:pPr>
        <w:widowControl w:val="0"/>
        <w:autoSpaceDE w:val="0"/>
        <w:autoSpaceDN w:val="0"/>
        <w:adjustRightInd w:val="0"/>
        <w:jc w:val="both"/>
        <w:rPr>
          <w:rFonts w:ascii="Arial" w:hAnsi="Arial" w:cs="Arial"/>
          <w:b/>
          <w:bCs/>
          <w:color w:val="262626"/>
          <w:lang w:val="es-ES"/>
        </w:rPr>
      </w:pPr>
    </w:p>
    <w:p w:rsidR="002A764C" w:rsidRDefault="002A764C" w:rsidP="002A764C">
      <w:pPr>
        <w:widowControl w:val="0"/>
        <w:autoSpaceDE w:val="0"/>
        <w:autoSpaceDN w:val="0"/>
        <w:adjustRightInd w:val="0"/>
        <w:jc w:val="both"/>
        <w:rPr>
          <w:rFonts w:ascii="Arial" w:hAnsi="Arial" w:cs="Arial"/>
          <w:b/>
          <w:bCs/>
          <w:color w:val="262626"/>
          <w:lang w:val="es-ES"/>
        </w:rPr>
      </w:pPr>
      <w:bookmarkStart w:id="0" w:name="_GoBack"/>
      <w:bookmarkEnd w:id="0"/>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b/>
          <w:bCs/>
          <w:color w:val="262626"/>
          <w:lang w:val="es-ES"/>
        </w:rPr>
        <w:t>9.- La Doctrina Truman y el Plan Marshall desde el punto de vista soviético 1947</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Sirvió de pretexto para intensificar la expansión del imperialismo norteamericano en Europa y proclamara abiertamente una política antisoviética la decisión del Gobierno inglés, tomada en febrero de 1947, de retirar sus tropas de Grecia y cesar el apoyo financiero a los círculos gobernantes reaccionarios de Turquía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El 12 de marzo de 1947, Truman solicitó al Congreso norteamericano (…) prestar urgentemente “ayuda” a Grecia y Turquía (…) No trató siquiera de ocultar el carácter militar de la proyectada “ayuda” ni la aspiración de EE.UU. a instalarse en los países beneficiarios de la misma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El mensaje del presidente norteamericano lleno de calumnias groseras contra los países socialistas, llamaba prácticamente a los EE.UU. a asumir el papel de gendarme mundial, o sea, a intervenir en los asuntos de todas las naciones al lado de la re acción y de la contrarrevolución, contribuyendo a la represión del movimiento liberador de todos los pueblos y oponiéndose abiertamente a la revolución y al desarrollo socialista de los Estados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 xml:space="preserve">El carácter antisoviético y </w:t>
      </w:r>
      <w:proofErr w:type="spellStart"/>
      <w:r w:rsidRPr="002A764C">
        <w:rPr>
          <w:rFonts w:ascii="Arial" w:hAnsi="Arial" w:cs="Arial"/>
          <w:color w:val="262626"/>
          <w:lang w:val="es-ES"/>
        </w:rPr>
        <w:t>antisocialista</w:t>
      </w:r>
      <w:proofErr w:type="spellEnd"/>
      <w:r w:rsidRPr="002A764C">
        <w:rPr>
          <w:rFonts w:ascii="Arial" w:hAnsi="Arial" w:cs="Arial"/>
          <w:color w:val="262626"/>
          <w:lang w:val="es-ES"/>
        </w:rPr>
        <w:t xml:space="preserve"> de la política exterior formulada en la “Doctrina Truman” era evidente desde el principio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 xml:space="preserve">El Gobierno y la prensa soviética denunciaron enérgicamente la naturaleza imperialista de la “Doctrina Truman”. El periódico </w:t>
      </w:r>
      <w:proofErr w:type="spellStart"/>
      <w:r w:rsidRPr="002A764C">
        <w:rPr>
          <w:rFonts w:ascii="Arial" w:hAnsi="Arial" w:cs="Arial"/>
          <w:color w:val="262626"/>
          <w:lang w:val="es-ES"/>
        </w:rPr>
        <w:t>Pravda</w:t>
      </w:r>
      <w:proofErr w:type="spellEnd"/>
      <w:r w:rsidRPr="002A764C">
        <w:rPr>
          <w:rFonts w:ascii="Arial" w:hAnsi="Arial" w:cs="Arial"/>
          <w:color w:val="262626"/>
          <w:lang w:val="es-ES"/>
        </w:rPr>
        <w:t xml:space="preserve"> señaló en aquellos días que esa “doctrina” significaba una nueva intervención en la vida de otros Estados y que las pretensiones de EE.UU. al papel dirigente de los asuntos internacionales aumentaban al tiempo que crecían las apetencias de los círculos norteamericanos interesados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 xml:space="preserve">El 5 de junio de 1947, el Secretario de Estado norteamericano George Marshall señaló, al hacer uso de la palabra en la Universidad de Harvard, que la economía </w:t>
      </w:r>
      <w:r w:rsidRPr="002A764C">
        <w:rPr>
          <w:rFonts w:ascii="Arial" w:hAnsi="Arial" w:cs="Arial"/>
          <w:color w:val="262626"/>
          <w:lang w:val="es-ES"/>
        </w:rPr>
        <w:lastRenderedPageBreak/>
        <w:t>de muchos países de Europa se encontraba en una situación penosa y que los EE.UU. deseaban ayudar a su restablecimiento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Aquel discurso no contenía datos concretos sobre las proporciones de la ayuda a los países europeos, ni sobre las condiciones en que se concedería. Dejaba oculta, claro está, la verdadera razón de ser del nuevo plan norteamericano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Una gran parte de la burguesía de los países europeos, asustada por el crecimiento de las fuerzas del socialismo y de la democracia, aplaudió el discurso. Análoga fue la reacción de los líderes socialistas de derecha (…), pero la Unión Soviética se daba perfectamente cuenta de lo que aquélla significaba en realidad, de cuánto valían las aseveraciones del Gobierno de los EE.UU. respecto a su deseo de ayudar al restablecimiento de los países perjudicados por la guerra.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El Gobierno de los EE.UU. se proponía utilizar sus recursos económicos en la postguerra con fines ajenos a una colaboración internacional equitativa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En 1947, Washington (…) quiso asegurar, por medio de la ayuda prometida, la influencia económica, política y militar dominante de los EE.UU. en los países de Europa Occidental, arruinados por la guerra, detener, valiéndose de la intervención, el ascenso del movimiento revolucionario, que se observaba en muchos de esos países, así como aislar a la URSS y hacer retomar a los cauces del desarrollo capitalista a todos los Estados democrático-populares o, por lo menos, algunos de ellos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Los autores del “Plan Marshall” le asignaban desde el primer momento un papel esencial en el restablecimiento del militarismo alemán, como importante elemento del bloque militar que se creaba, bajo la égida de los EE.UU. dirigido contra la URSS y otros países socialistas.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El Gobierno soviético hacía ver con insistencia que los objetivos del “Plan Marshall” estaban en pugna con la paz y la independencia de los pueblos (…)</w:t>
      </w:r>
    </w:p>
    <w:p w:rsidR="002A764C" w:rsidRPr="002A764C" w:rsidRDefault="002A764C" w:rsidP="002A764C">
      <w:pPr>
        <w:widowControl w:val="0"/>
        <w:autoSpaceDE w:val="0"/>
        <w:autoSpaceDN w:val="0"/>
        <w:adjustRightInd w:val="0"/>
        <w:jc w:val="both"/>
        <w:rPr>
          <w:rFonts w:ascii="Arial" w:hAnsi="Arial" w:cs="Arial"/>
          <w:color w:val="262626"/>
          <w:lang w:val="es-ES"/>
        </w:rPr>
      </w:pPr>
      <w:r w:rsidRPr="002A764C">
        <w:rPr>
          <w:rFonts w:ascii="Arial" w:hAnsi="Arial" w:cs="Arial"/>
          <w:color w:val="262626"/>
          <w:lang w:val="es-ES"/>
        </w:rPr>
        <w:t>Los Gobiernos de los países de democracia popular condenaron a su vez los peligrosos objetivos del imperialismo norteamericano, encubiertos con la apariencia “filantrópica” del “Plan Marshall”.</w:t>
      </w:r>
    </w:p>
    <w:p w:rsidR="00A962BC" w:rsidRDefault="002A764C" w:rsidP="002A764C">
      <w:pPr>
        <w:jc w:val="both"/>
        <w:rPr>
          <w:rFonts w:ascii="Georgia" w:hAnsi="Georgia" w:cs="Georgia"/>
          <w:color w:val="262626"/>
          <w:sz w:val="32"/>
          <w:szCs w:val="32"/>
          <w:lang w:val="es-ES"/>
        </w:rPr>
      </w:pPr>
      <w:r w:rsidRPr="002A764C">
        <w:rPr>
          <w:rFonts w:ascii="Arial" w:hAnsi="Arial" w:cs="Arial"/>
          <w:b/>
          <w:bCs/>
          <w:color w:val="262626"/>
          <w:lang w:val="es-ES"/>
        </w:rPr>
        <w:t>Fuente:</w:t>
      </w:r>
      <w:r w:rsidRPr="002A764C">
        <w:rPr>
          <w:rFonts w:ascii="Arial" w:hAnsi="Arial" w:cs="Arial"/>
          <w:color w:val="262626"/>
          <w:lang w:val="es-ES"/>
        </w:rPr>
        <w:t xml:space="preserve"> Historia de la Política Exterior de la URSS 1974</w:t>
      </w:r>
      <w:r>
        <w:rPr>
          <w:rFonts w:ascii="Georgia" w:hAnsi="Georgia" w:cs="Georgia"/>
          <w:color w:val="262626"/>
          <w:sz w:val="32"/>
          <w:szCs w:val="32"/>
          <w:lang w:val="es-ES"/>
        </w:rPr>
        <w:t>.</w:t>
      </w:r>
    </w:p>
    <w:p w:rsidR="002A764C" w:rsidRDefault="002A764C" w:rsidP="002A764C">
      <w:pPr>
        <w:jc w:val="both"/>
        <w:rPr>
          <w:rFonts w:ascii="Georgia" w:hAnsi="Georgia" w:cs="Georgia"/>
          <w:color w:val="262626"/>
          <w:sz w:val="32"/>
          <w:szCs w:val="32"/>
          <w:lang w:val="es-ES"/>
        </w:rPr>
      </w:pPr>
    </w:p>
    <w:p w:rsidR="002A764C" w:rsidRDefault="002A764C" w:rsidP="002A764C">
      <w:pPr>
        <w:jc w:val="both"/>
        <w:rPr>
          <w:rFonts w:ascii="Georgia" w:hAnsi="Georgia" w:cs="Georgia"/>
          <w:color w:val="262626"/>
          <w:sz w:val="32"/>
          <w:szCs w:val="32"/>
          <w:lang w:val="es-ES"/>
        </w:rPr>
      </w:pPr>
    </w:p>
    <w:p w:rsidR="002A764C" w:rsidRDefault="002A764C" w:rsidP="002A764C">
      <w:pPr>
        <w:jc w:val="both"/>
      </w:pPr>
    </w:p>
    <w:sectPr w:rsidR="002A764C"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64C"/>
    <w:rsid w:val="002A764C"/>
    <w:rsid w:val="00903C4A"/>
    <w:rsid w:val="00A962B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2BB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historia1imagen.cl/2013/03/12/winston-churchill-el-telon-de-acero-5-de-marzo-1946/"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820</Words>
  <Characters>4510</Characters>
  <Application>Microsoft Macintosh Word</Application>
  <DocSecurity>0</DocSecurity>
  <Lines>37</Lines>
  <Paragraphs>10</Paragraphs>
  <ScaleCrop>false</ScaleCrop>
  <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2016-08-30T03:01:00Z</dcterms:created>
  <dcterms:modified xsi:type="dcterms:W3CDTF">2016-08-30T04:04:00Z</dcterms:modified>
</cp:coreProperties>
</file>